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0" w:lineRule="exact"/>
        <w:ind w:right="-32" w:rightChars="-10"/>
        <w:jc w:val="distribute"/>
        <w:rPr>
          <w:rFonts w:hint="eastAsia" w:ascii="方正小标宋简体" w:hAnsi="Times New Roman" w:eastAsia="方正小标宋简体"/>
          <w:color w:val="FF0000"/>
          <w:spacing w:val="-28"/>
          <w:w w:val="50"/>
          <w:sz w:val="144"/>
          <w:szCs w:val="144"/>
        </w:rPr>
      </w:pPr>
      <w:bookmarkStart w:id="0" w:name="_GoBack"/>
      <w:bookmarkEnd w:id="0"/>
      <w:r>
        <w:rPr>
          <w:rFonts w:hint="eastAsia" w:ascii="方正小标宋简体" w:hAnsi="Times New Roman" w:eastAsia="方正小标宋简体"/>
          <w:color w:val="FF0000"/>
          <w:spacing w:val="-28"/>
          <w:w w:val="50"/>
          <w:sz w:val="144"/>
          <w:szCs w:val="144"/>
        </w:rPr>
        <w:t>四川省教育科学研究院文件</w:t>
      </w:r>
    </w:p>
    <w:p>
      <w:pPr>
        <w:spacing w:before="120" w:beforeLines="50" w:line="520" w:lineRule="exact"/>
        <w:ind w:firstLine="160" w:firstLineChars="50"/>
        <w:jc w:val="center"/>
        <w:rPr>
          <w:rFonts w:hint="eastAsia" w:ascii="Times New Roman" w:hAnsi="Times New Roman"/>
          <w:szCs w:val="32"/>
        </w:rPr>
      </w:pPr>
      <w:r>
        <w:rPr>
          <w:rFonts w:hint="eastAsia" w:hAnsi="Times New Roman"/>
          <w:szCs w:val="32"/>
        </w:rPr>
        <w:t>川教研</w:t>
      </w:r>
      <w:r>
        <w:rPr>
          <w:rFonts w:ascii="Times New Roman" w:hAnsi="Times New Roman"/>
          <w:szCs w:val="32"/>
        </w:rPr>
        <w:t>〔20</w:t>
      </w:r>
      <w:r>
        <w:rPr>
          <w:rFonts w:hint="eastAsia" w:ascii="Times New Roman" w:hAnsi="Times New Roman"/>
          <w:szCs w:val="32"/>
        </w:rPr>
        <w:t>2</w:t>
      </w:r>
      <w:r>
        <w:rPr>
          <w:rFonts w:ascii="Times New Roman" w:hAnsi="Times New Roman"/>
          <w:szCs w:val="32"/>
        </w:rPr>
        <w:t>3〕</w:t>
      </w:r>
      <w:r>
        <w:rPr>
          <w:rFonts w:hint="eastAsia" w:ascii="Times New Roman" w:hAnsi="Times New Roman"/>
          <w:szCs w:val="32"/>
        </w:rPr>
        <w:t>4</w:t>
      </w:r>
      <w:r>
        <w:rPr>
          <w:rFonts w:ascii="Times New Roman" w:hAnsi="Times New Roman"/>
          <w:szCs w:val="32"/>
        </w:rPr>
        <w:t>9</w:t>
      </w:r>
      <w:r>
        <w:rPr>
          <w:rFonts w:hint="eastAsia" w:ascii="Times New Roman" w:hAnsi="Times New Roman"/>
          <w:szCs w:val="32"/>
        </w:rPr>
        <w:t>号</w:t>
      </w:r>
    </w:p>
    <w:p>
      <w:pPr>
        <w:spacing w:line="700" w:lineRule="exact"/>
        <w:ind w:firstLine="161" w:firstLineChars="50"/>
        <w:jc w:val="center"/>
        <w:rPr>
          <w:rFonts w:hint="eastAsia"/>
          <w:b/>
          <w:szCs w:val="32"/>
        </w:rPr>
      </w:pPr>
      <w:r>
        <w:rPr>
          <w:rFonts w:hint="eastAsia"/>
          <w:b/>
          <w:szCs w:val="32"/>
          <w:lang/>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118110</wp:posOffset>
                </wp:positionV>
                <wp:extent cx="5594350" cy="1905"/>
                <wp:effectExtent l="0" t="0" r="0" b="0"/>
                <wp:wrapNone/>
                <wp:docPr id="1" name="直线 2"/>
                <wp:cNvGraphicFramePr/>
                <a:graphic xmlns:a="http://schemas.openxmlformats.org/drawingml/2006/main">
                  <a:graphicData uri="http://schemas.microsoft.com/office/word/2010/wordprocessingShape">
                    <wps:wsp>
                      <wps:cNvSpPr/>
                      <wps:spPr>
                        <a:xfrm flipV="1">
                          <a:off x="0" y="0"/>
                          <a:ext cx="5594350" cy="190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3.3pt;margin-top:9.3pt;height:0.15pt;width:440.5pt;z-index:251659264;mso-width-relative:page;mso-height-relative:page;" filled="f" stroked="t" coordsize="21600,21600" o:gfxdata="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aKcs1QAAAAcBAAAPAAAAAAAAAAEAIAAAACIAAABkcnMvZG93bnJldi54bWxQSwECFAAUAAAACACH&#10;TuJABBgvQe4BAADpAwAADgAAAAAAAAABACAAAAAkAQAAZHJzL2Uyb0RvYy54bWxQSwUGAAAAAAYA&#10;BgBZAQAAhAUAAAAA&#10;">
                <v:fill on="f" focussize="0,0"/>
                <v:stroke weight="1.5pt" color="#FF0000" joinstyle="round"/>
                <v:imagedata o:title=""/>
                <o:lock v:ext="edit" aspectratio="f"/>
              </v:line>
            </w:pict>
          </mc:Fallback>
        </mc:AlternateContent>
      </w:r>
    </w:p>
    <w:p>
      <w:pPr>
        <w:widowControl/>
        <w:shd w:val="clear" w:color="auto" w:fill="FFFFFF"/>
        <w:spacing w:line="700" w:lineRule="exact"/>
        <w:jc w:val="center"/>
        <w:outlineLvl w:val="1"/>
        <w:rPr>
          <w:rFonts w:ascii="方正小标宋_GBK" w:hAnsi="微软雅黑" w:eastAsia="方正小标宋_GBK" w:cs="宋体"/>
          <w:color w:val="000000"/>
          <w:kern w:val="0"/>
          <w:sz w:val="44"/>
          <w:szCs w:val="44"/>
        </w:rPr>
      </w:pPr>
      <w:r>
        <w:rPr>
          <w:rFonts w:hint="eastAsia" w:ascii="方正小标宋_GBK" w:hAnsi="微软雅黑" w:eastAsia="方正小标宋_GBK" w:cs="宋体"/>
          <w:color w:val="000000"/>
          <w:kern w:val="0"/>
          <w:sz w:val="44"/>
          <w:szCs w:val="44"/>
        </w:rPr>
        <w:t>四川省教育科学研究院关于2023年四川省</w:t>
      </w:r>
    </w:p>
    <w:p>
      <w:pPr>
        <w:widowControl/>
        <w:shd w:val="clear" w:color="auto" w:fill="FFFFFF"/>
        <w:spacing w:line="700" w:lineRule="exact"/>
        <w:jc w:val="center"/>
        <w:outlineLvl w:val="1"/>
        <w:rPr>
          <w:rFonts w:hint="eastAsia" w:ascii="方正小标宋_GBK" w:hAnsi="微软雅黑" w:eastAsia="方正小标宋_GBK" w:cs="宋体"/>
          <w:color w:val="000000"/>
          <w:kern w:val="0"/>
          <w:sz w:val="44"/>
          <w:szCs w:val="44"/>
        </w:rPr>
      </w:pPr>
      <w:r>
        <w:rPr>
          <w:rFonts w:hint="eastAsia" w:ascii="方正小标宋_GBK" w:hAnsi="微软雅黑" w:eastAsia="方正小标宋_GBK" w:cs="宋体"/>
          <w:color w:val="000000"/>
          <w:kern w:val="0"/>
          <w:sz w:val="44"/>
          <w:szCs w:val="44"/>
        </w:rPr>
        <w:t>初中历史优秀论文评审结果的通知</w:t>
      </w:r>
    </w:p>
    <w:p>
      <w:pPr>
        <w:pStyle w:val="6"/>
        <w:shd w:val="clear" w:color="auto" w:fill="FFFFFF"/>
        <w:spacing w:before="240" w:beforeLines="100" w:beforeAutospacing="0" w:after="0" w:afterAutospacing="0" w:line="570" w:lineRule="exact"/>
        <w:jc w:val="both"/>
        <w:rPr>
          <w:rFonts w:hint="eastAsia" w:ascii="仿宋_GB2312" w:hAnsi="微软雅黑" w:eastAsia="仿宋_GB2312"/>
          <w:color w:val="222222"/>
          <w:sz w:val="32"/>
          <w:szCs w:val="32"/>
        </w:rPr>
      </w:pPr>
      <w:r>
        <w:rPr>
          <w:rFonts w:hint="eastAsia" w:ascii="仿宋_GB2312" w:hAnsi="微软雅黑" w:eastAsia="仿宋_GB2312"/>
          <w:color w:val="222222"/>
          <w:sz w:val="32"/>
          <w:szCs w:val="32"/>
        </w:rPr>
        <w:t>各市（州）教科所（院）</w:t>
      </w:r>
    </w:p>
    <w:p>
      <w:pPr>
        <w:pStyle w:val="6"/>
        <w:shd w:val="clear" w:color="auto" w:fill="FFFFFF"/>
        <w:spacing w:before="0" w:beforeAutospacing="0" w:after="0" w:afterAutospacing="0" w:line="570" w:lineRule="exact"/>
        <w:ind w:firstLine="640" w:firstLineChars="200"/>
        <w:jc w:val="both"/>
        <w:rPr>
          <w:rFonts w:hint="eastAsia" w:ascii="仿宋_GB2312" w:hAnsi="微软雅黑" w:eastAsia="仿宋_GB2312"/>
          <w:color w:val="222222"/>
          <w:sz w:val="32"/>
          <w:szCs w:val="32"/>
        </w:rPr>
      </w:pPr>
      <w:r>
        <w:rPr>
          <w:rFonts w:hint="eastAsia" w:ascii="仿宋_GB2312" w:hAnsi="微软雅黑" w:eastAsia="仿宋_GB2312"/>
          <w:color w:val="222222"/>
          <w:sz w:val="32"/>
          <w:szCs w:val="32"/>
        </w:rPr>
        <w:t>根据《四川省教育科学研究院办公室关于开展2023年义务教育阶段道德与法治等七个学科及心理健康教育教学论文评选活动的通知》要求，按照客观、公平、公正的原则，经过查重、评委评审，最终评选出优秀论文168篇，其中一等奖25篇、二等奖51篇、三等奖92篇。</w:t>
      </w:r>
    </w:p>
    <w:p>
      <w:pPr>
        <w:pStyle w:val="6"/>
        <w:shd w:val="clear" w:color="auto" w:fill="FFFFFF"/>
        <w:spacing w:before="0" w:beforeAutospacing="0" w:after="0" w:afterAutospacing="0" w:line="570" w:lineRule="exact"/>
        <w:ind w:firstLine="640" w:firstLineChars="200"/>
        <w:jc w:val="both"/>
        <w:rPr>
          <w:rFonts w:hint="eastAsia" w:ascii="仿宋_GB2312" w:hAnsi="微软雅黑" w:eastAsia="仿宋_GB2312"/>
          <w:color w:val="222222"/>
          <w:sz w:val="32"/>
          <w:szCs w:val="32"/>
        </w:rPr>
      </w:pPr>
      <w:r>
        <w:rPr>
          <w:rFonts w:hint="eastAsia" w:ascii="仿宋_GB2312" w:hAnsi="微软雅黑" w:eastAsia="仿宋_GB2312"/>
          <w:color w:val="222222"/>
          <w:sz w:val="32"/>
          <w:szCs w:val="32"/>
        </w:rPr>
        <w:t>评审结果于2023年10月19日至10月24日在四川省教育科学研究院网站进行了公示，公示期间无异议。现将评审结果公布如下(见附件)：</w:t>
      </w:r>
    </w:p>
    <w:p>
      <w:pPr>
        <w:pStyle w:val="6"/>
        <w:shd w:val="clear" w:color="auto" w:fill="FFFFFF"/>
        <w:spacing w:before="240" w:beforeLines="100" w:beforeAutospacing="0" w:after="0" w:afterAutospacing="0" w:line="570" w:lineRule="exact"/>
        <w:ind w:firstLine="640" w:firstLineChars="200"/>
        <w:jc w:val="both"/>
        <w:rPr>
          <w:rFonts w:ascii="仿宋_GB2312" w:hAnsi="微软雅黑" w:eastAsia="仿宋_GB2312"/>
          <w:color w:val="222222"/>
          <w:sz w:val="32"/>
          <w:szCs w:val="32"/>
        </w:rPr>
      </w:pPr>
      <w:r>
        <w:rPr>
          <w:rFonts w:hint="eastAsia" w:ascii="仿宋_GB2312" w:hAnsi="微软雅黑" w:eastAsia="仿宋_GB2312"/>
          <w:color w:val="222222"/>
          <w:sz w:val="32"/>
          <w:szCs w:val="32"/>
        </w:rPr>
        <w:t>附件：2023年四川省初中历史优秀论文评审结果</w:t>
      </w:r>
    </w:p>
    <w:p>
      <w:pPr>
        <w:pStyle w:val="6"/>
        <w:shd w:val="clear" w:color="auto" w:fill="FFFFFF"/>
        <w:spacing w:before="0" w:beforeAutospacing="0" w:after="0" w:afterAutospacing="0" w:line="570" w:lineRule="exact"/>
        <w:ind w:firstLine="640" w:firstLineChars="200"/>
        <w:jc w:val="both"/>
        <w:rPr>
          <w:rFonts w:ascii="仿宋_GB2312" w:hAnsi="微软雅黑" w:eastAsia="仿宋_GB2312"/>
          <w:color w:val="222222"/>
          <w:sz w:val="32"/>
          <w:szCs w:val="32"/>
        </w:rPr>
      </w:pPr>
      <w:r>
        <w:rPr>
          <w:rFonts w:hint="eastAsia" w:ascii="仿宋_GB2312" w:hAnsi="微软雅黑" w:eastAsia="仿宋_GB2312"/>
          <w:color w:val="222222"/>
          <w:sz w:val="32"/>
          <w:szCs w:val="32"/>
        </w:rPr>
        <w:t xml:space="preserve">                          </w:t>
      </w:r>
    </w:p>
    <w:p>
      <w:pPr>
        <w:pStyle w:val="6"/>
        <w:shd w:val="clear" w:color="auto" w:fill="FFFFFF"/>
        <w:spacing w:before="0" w:beforeAutospacing="0" w:after="0" w:afterAutospacing="0" w:line="570" w:lineRule="exact"/>
        <w:ind w:firstLine="5120" w:firstLineChars="1600"/>
        <w:jc w:val="both"/>
        <w:rPr>
          <w:rFonts w:ascii="仿宋_GB2312" w:hAnsi="微软雅黑" w:eastAsia="仿宋_GB2312"/>
          <w:color w:val="222222"/>
          <w:sz w:val="32"/>
          <w:szCs w:val="32"/>
        </w:rPr>
      </w:pPr>
      <w:r>
        <w:rPr>
          <w:rFonts w:hint="eastAsia" w:ascii="仿宋_GB2312" w:hAnsi="微软雅黑" w:eastAsia="仿宋_GB2312"/>
          <w:color w:val="222222"/>
          <w:sz w:val="32"/>
          <w:szCs w:val="32"/>
        </w:rPr>
        <w:t>四川省教育科学研究院</w:t>
      </w:r>
    </w:p>
    <w:p>
      <w:pPr>
        <w:pStyle w:val="6"/>
        <w:shd w:val="clear" w:color="auto" w:fill="FFFFFF"/>
        <w:spacing w:before="0" w:beforeAutospacing="0" w:after="0" w:afterAutospacing="0" w:line="570" w:lineRule="exact"/>
        <w:ind w:firstLine="5440" w:firstLineChars="1700"/>
        <w:jc w:val="both"/>
        <w:sectPr>
          <w:footerReference r:id="rId3" w:type="default"/>
          <w:footerReference r:id="rId4" w:type="even"/>
          <w:pgSz w:w="11906" w:h="16838"/>
          <w:pgMar w:top="1701" w:right="1474" w:bottom="1985" w:left="1588" w:header="1701" w:footer="1588" w:gutter="0"/>
          <w:cols w:space="425" w:num="1"/>
          <w:docGrid w:linePitch="579" w:charSpace="-849"/>
        </w:sectPr>
      </w:pPr>
      <w:r>
        <w:rPr>
          <w:rFonts w:ascii="仿宋_GB2312" w:hAnsi="微软雅黑" w:eastAsia="仿宋_GB2312"/>
          <w:color w:val="222222"/>
          <w:sz w:val="32"/>
          <w:szCs w:val="32"/>
        </w:rPr>
        <w:t>202</w:t>
      </w:r>
      <w:r>
        <w:rPr>
          <w:rFonts w:hint="eastAsia" w:ascii="仿宋_GB2312" w:hAnsi="微软雅黑" w:eastAsia="仿宋_GB2312"/>
          <w:color w:val="222222"/>
          <w:sz w:val="32"/>
          <w:szCs w:val="32"/>
        </w:rPr>
        <w:t>3</w:t>
      </w:r>
      <w:r>
        <w:rPr>
          <w:rFonts w:ascii="仿宋_GB2312" w:hAnsi="微软雅黑" w:eastAsia="仿宋_GB2312"/>
          <w:color w:val="222222"/>
          <w:sz w:val="32"/>
          <w:szCs w:val="32"/>
        </w:rPr>
        <w:t>年</w:t>
      </w:r>
      <w:r>
        <w:rPr>
          <w:rFonts w:hint="eastAsia" w:ascii="仿宋_GB2312" w:hAnsi="微软雅黑" w:eastAsia="仿宋_GB2312"/>
          <w:color w:val="222222"/>
          <w:sz w:val="32"/>
          <w:szCs w:val="32"/>
        </w:rPr>
        <w:t>10</w:t>
      </w:r>
      <w:r>
        <w:rPr>
          <w:rFonts w:ascii="仿宋_GB2312" w:hAnsi="微软雅黑" w:eastAsia="仿宋_GB2312"/>
          <w:color w:val="222222"/>
          <w:sz w:val="32"/>
          <w:szCs w:val="32"/>
        </w:rPr>
        <w:t>月</w:t>
      </w:r>
      <w:r>
        <w:rPr>
          <w:rFonts w:hint="eastAsia" w:ascii="仿宋_GB2312" w:hAnsi="微软雅黑" w:eastAsia="仿宋_GB2312"/>
          <w:color w:val="222222"/>
          <w:sz w:val="32"/>
          <w:szCs w:val="32"/>
        </w:rPr>
        <w:t>25</w:t>
      </w:r>
      <w:r>
        <w:rPr>
          <w:rFonts w:ascii="仿宋_GB2312" w:hAnsi="微软雅黑" w:eastAsia="仿宋_GB2312"/>
          <w:color w:val="222222"/>
          <w:sz w:val="32"/>
          <w:szCs w:val="32"/>
        </w:rPr>
        <w:t>日</w:t>
      </w:r>
      <w:r>
        <w:tab/>
      </w:r>
    </w:p>
    <w:p>
      <w:pPr>
        <w:spacing w:line="600" w:lineRule="exact"/>
        <w:rPr>
          <w:rFonts w:ascii="宋体" w:hAnsi="宋体" w:eastAsia="宋体"/>
          <w:szCs w:val="32"/>
        </w:rPr>
      </w:pPr>
      <w:r>
        <w:rPr>
          <w:rFonts w:hint="eastAsia" w:ascii="宋体" w:hAnsi="宋体" w:eastAsia="宋体"/>
          <w:szCs w:val="32"/>
        </w:rPr>
        <w:t>附件</w:t>
      </w:r>
    </w:p>
    <w:p>
      <w:pPr>
        <w:spacing w:line="600" w:lineRule="exact"/>
        <w:jc w:val="center"/>
        <w:rPr>
          <w:rFonts w:ascii="方正小标宋简体" w:hAnsi="微软雅黑" w:eastAsia="方正小标宋简体"/>
          <w:color w:val="222222"/>
          <w:sz w:val="36"/>
          <w:szCs w:val="36"/>
        </w:rPr>
      </w:pPr>
      <w:r>
        <w:rPr>
          <w:rFonts w:hint="eastAsia" w:ascii="方正小标宋简体" w:hAnsi="微软雅黑" w:eastAsia="方正小标宋简体"/>
          <w:color w:val="222222"/>
          <w:sz w:val="36"/>
          <w:szCs w:val="36"/>
        </w:rPr>
        <w:t>2023年四川省初中历史优秀论文评审结果</w:t>
      </w:r>
    </w:p>
    <w:p>
      <w:pPr>
        <w:spacing w:before="120" w:beforeLines="50" w:line="600" w:lineRule="exact"/>
        <w:jc w:val="center"/>
        <w:rPr>
          <w:rFonts w:ascii="楷体_GB2312" w:eastAsia="楷体_GB2312"/>
          <w:b/>
          <w:szCs w:val="32"/>
        </w:rPr>
      </w:pPr>
      <w:r>
        <w:rPr>
          <w:rFonts w:hint="eastAsia" w:ascii="黑体" w:hAnsi="黑体" w:eastAsia="黑体"/>
          <w:szCs w:val="32"/>
        </w:rPr>
        <w:t>一等奖</w:t>
      </w:r>
      <w:r>
        <w:rPr>
          <w:rFonts w:hint="eastAsia" w:ascii="楷体_GB2312" w:eastAsia="楷体_GB2312"/>
          <w:b/>
          <w:szCs w:val="32"/>
        </w:rPr>
        <w:t>（25篇）</w:t>
      </w:r>
    </w:p>
    <w:tbl>
      <w:tblPr>
        <w:tblStyle w:val="7"/>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6348"/>
        <w:gridCol w:w="1180"/>
        <w:gridCol w:w="2505"/>
        <w:gridCol w:w="993"/>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6348" w:type="dxa"/>
            <w:shd w:val="clear" w:color="auto" w:fill="auto"/>
            <w:noWrap w:val="0"/>
            <w:vAlign w:val="center"/>
          </w:tcPr>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资源名称</w:t>
            </w:r>
          </w:p>
        </w:tc>
        <w:tc>
          <w:tcPr>
            <w:tcW w:w="1180" w:type="dxa"/>
            <w:shd w:val="clear" w:color="auto" w:fill="auto"/>
            <w:noWrap w:val="0"/>
            <w:vAlign w:val="center"/>
          </w:tcPr>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第一</w:t>
            </w:r>
          </w:p>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作者</w:t>
            </w:r>
          </w:p>
        </w:tc>
        <w:tc>
          <w:tcPr>
            <w:tcW w:w="2505" w:type="dxa"/>
            <w:shd w:val="clear" w:color="auto" w:fill="auto"/>
            <w:noWrap w:val="0"/>
            <w:vAlign w:val="center"/>
          </w:tcPr>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单位名称</w:t>
            </w:r>
          </w:p>
        </w:tc>
        <w:tc>
          <w:tcPr>
            <w:tcW w:w="993" w:type="dxa"/>
            <w:shd w:val="clear" w:color="auto" w:fill="auto"/>
            <w:noWrap w:val="0"/>
            <w:vAlign w:val="center"/>
          </w:tcPr>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第二</w:t>
            </w:r>
          </w:p>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作者</w:t>
            </w:r>
          </w:p>
        </w:tc>
        <w:tc>
          <w:tcPr>
            <w:tcW w:w="2409" w:type="dxa"/>
            <w:shd w:val="clear" w:color="auto" w:fill="auto"/>
            <w:noWrap w:val="0"/>
            <w:vAlign w:val="center"/>
          </w:tcPr>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新课标视域下UBD模式在初中历史《中国特色社会主义道路》单元教学设计中的应用</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尚倩</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宜宾市行知中学</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初中历史跨学科主题学习活动初探——以”追寻红色足迹，传承红色基因“为例</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唐莉</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自贡市蜀光绿盛实验学校</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阅藏品 读古今 继传承 育全人——指向核心素养的初中博物馆综合实践课程的开发策略</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李萍</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成都市七中育才学校</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基于历史学科核心素养培养的图像史料教学研究</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魏莹</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成都高新新城学校</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“中华民族多元一体”理论下的初中历史教学刍议</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米善军</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绵阳东辰学校</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让历史“活”起来——“双减”背景下初中历史作业设计的实践探索</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何鑫</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成都七中初中学校</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审思 构思 践思 反思——浅谈初中历史教学中地方文化资源的开发与利用</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邓诗</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乐山市实验中学</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基于核心素养的历史考试命题研究——以义务教育阶段历史学业水平考试为例</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刘金尚</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攀枝花市花城外国语学校</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基于大概念的初中历史大单元教学实施策略——以复习课《资本主义的产生和初步确立》为例</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曾莉萍</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自贡市蜀光绿盛实验学校南湖校区</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初中历史教学中史料运用“一体两翼三环”实施路径初探 --以《海峡两岸的交往》一文材料采撷为例</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巫文杰</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纳溪区教育科学研究中心</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大概念视域下的初中历史单元教学实践初探——以《三国两晋南北朝的民族交融》为例</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龚玲</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自贡市沿滩区龙湖中学校</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核心素养背景下史料研读教学实践探讨</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周静莉</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成都市棕北中学</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兼顾初高中历史大单元教学和国际理解素养培育的地方特色课程开发——以教学实录《从陈麻婆豆腐的创始与发展观成都历史 探天下大势》为例</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赵东琳</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成都七中（高新校区）</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穷图思史：历史插图的课堂运用——以《张骞拜别汉武帝出使西域图》为例</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罗诗怡</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成都七中初中学校（天环校区）</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乡土忆·家国情——项目主题下的初中历史作业设计</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谢娣</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四川省资阳中学</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辜柔</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四川省资阳中学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基于发展学生核心素养的课堂教学实践研究——以部编版“海峡两岸的交往”一课为例</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陈朝晖</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南充高级中学</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中学历史教学与劳动教育融合的实践探索</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马峻</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遂宁市教科所</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大概念统领 跨学科融合 彰显学科育人价值——2023年自贡市中考历史试卷分析</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李彦</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自贡市蜀光中学</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何媛晖</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自贡市旭川中学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基于项目式学习的历史研学旅行活动设计与实施——以西南交通大学机车博物园研学活动为例</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洪尧</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成都市树德实验中学弘毅分校</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曾庆沙</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成都市树德实验中学弘毅分校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初高中历史教学下“革命”含义的释读——以《清帝退位诏书》为例</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朱思鱼</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绵阳市东辰学校</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包颖</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绵阳市实验高级中学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2"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双减背景下初中历史作业的设计与实践探索</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刘燕玲</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成都嘉祥外国语学校</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曾娟</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成都嘉祥外国语学校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浅析基于学科核心素养的初中历史命题策略</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刘煌宇</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攀枝花市二十五中小阳光外国语学校</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巧用历史教学资源·落实家国情怀素养——以部编《中国历史》八年级上册为例</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陈燕</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泸州市梓</w:t>
            </w:r>
            <w:r>
              <w:rPr>
                <w:rFonts w:hint="eastAsia" w:ascii="微软雅黑" w:hAnsi="微软雅黑" w:eastAsia="微软雅黑" w:cs="微软雅黑"/>
                <w:kern w:val="0"/>
                <w:sz w:val="24"/>
                <w:szCs w:val="24"/>
              </w:rPr>
              <w:t>橦</w:t>
            </w:r>
            <w:r>
              <w:rPr>
                <w:rFonts w:hint="eastAsia" w:hAnsi="仿宋_GB2312" w:cs="仿宋_GB2312"/>
                <w:kern w:val="0"/>
                <w:sz w:val="24"/>
                <w:szCs w:val="24"/>
              </w:rPr>
              <w:t>路学校</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浅谈项目式学习在中学历史教学中的实施</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李会奇</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成都石室中学</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曾丽娟</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成都七中万达学校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740" w:type="dxa"/>
            <w:shd w:val="clear" w:color="auto" w:fill="auto"/>
            <w:noWrap w:val="0"/>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6348"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聚焦学生思维发展，构建抛锚式跨学科课堂</w:t>
            </w:r>
          </w:p>
        </w:tc>
        <w:tc>
          <w:tcPr>
            <w:tcW w:w="118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张炜</w:t>
            </w:r>
          </w:p>
        </w:tc>
        <w:tc>
          <w:tcPr>
            <w:tcW w:w="2505"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成都市双流区教育科学研究院</w:t>
            </w:r>
          </w:p>
        </w:tc>
        <w:tc>
          <w:tcPr>
            <w:tcW w:w="993"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袁园</w:t>
            </w:r>
          </w:p>
        </w:tc>
        <w:tc>
          <w:tcPr>
            <w:tcW w:w="2409"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双流中学九江实验学校</w:t>
            </w:r>
          </w:p>
        </w:tc>
      </w:tr>
    </w:tbl>
    <w:p>
      <w:pPr>
        <w:spacing w:line="600" w:lineRule="exact"/>
        <w:jc w:val="center"/>
        <w:rPr>
          <w:rFonts w:ascii="楷体_GB2312" w:eastAsia="楷体_GB2312"/>
          <w:b/>
          <w:szCs w:val="32"/>
        </w:rPr>
      </w:pPr>
      <w:r>
        <w:br w:type="page"/>
      </w:r>
      <w:r>
        <w:rPr>
          <w:rFonts w:hint="eastAsia" w:ascii="黑体" w:hAnsi="黑体" w:eastAsia="黑体"/>
          <w:szCs w:val="32"/>
        </w:rPr>
        <w:t>二等奖</w:t>
      </w:r>
      <w:r>
        <w:rPr>
          <w:rFonts w:hint="eastAsia" w:ascii="楷体_GB2312" w:eastAsia="楷体_GB2312"/>
          <w:b/>
          <w:szCs w:val="32"/>
        </w:rPr>
        <w:t>（</w:t>
      </w:r>
      <w:r>
        <w:rPr>
          <w:rFonts w:ascii="楷体_GB2312" w:eastAsia="楷体_GB2312"/>
          <w:b/>
          <w:szCs w:val="32"/>
        </w:rPr>
        <w:t>51</w:t>
      </w:r>
      <w:r>
        <w:rPr>
          <w:rFonts w:hint="eastAsia" w:ascii="楷体_GB2312" w:eastAsia="楷体_GB2312"/>
          <w:b/>
          <w:szCs w:val="32"/>
        </w:rPr>
        <w:t>篇）</w:t>
      </w:r>
    </w:p>
    <w:tbl>
      <w:tblPr>
        <w:tblStyle w:val="7"/>
        <w:tblW w:w="14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6313"/>
        <w:gridCol w:w="1176"/>
        <w:gridCol w:w="2534"/>
        <w:gridCol w:w="98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widowControl/>
              <w:spacing w:line="280" w:lineRule="exact"/>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6313" w:type="dxa"/>
            <w:shd w:val="clear" w:color="auto" w:fill="auto"/>
            <w:noWrap w:val="0"/>
            <w:vAlign w:val="center"/>
          </w:tcPr>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资源名称</w:t>
            </w:r>
          </w:p>
        </w:tc>
        <w:tc>
          <w:tcPr>
            <w:tcW w:w="1176" w:type="dxa"/>
            <w:shd w:val="clear" w:color="auto" w:fill="auto"/>
            <w:noWrap w:val="0"/>
            <w:vAlign w:val="center"/>
          </w:tcPr>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第一</w:t>
            </w:r>
          </w:p>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作者</w:t>
            </w:r>
          </w:p>
        </w:tc>
        <w:tc>
          <w:tcPr>
            <w:tcW w:w="2534" w:type="dxa"/>
            <w:shd w:val="clear" w:color="auto" w:fill="auto"/>
            <w:noWrap w:val="0"/>
            <w:vAlign w:val="center"/>
          </w:tcPr>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单位名称</w:t>
            </w:r>
          </w:p>
        </w:tc>
        <w:tc>
          <w:tcPr>
            <w:tcW w:w="985" w:type="dxa"/>
            <w:shd w:val="clear" w:color="auto" w:fill="auto"/>
            <w:noWrap w:val="0"/>
            <w:vAlign w:val="center"/>
          </w:tcPr>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第二</w:t>
            </w:r>
          </w:p>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作者</w:t>
            </w:r>
          </w:p>
        </w:tc>
        <w:tc>
          <w:tcPr>
            <w:tcW w:w="2435" w:type="dxa"/>
            <w:shd w:val="clear" w:color="auto" w:fill="auto"/>
            <w:noWrap w:val="0"/>
            <w:vAlign w:val="center"/>
          </w:tcPr>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1</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基于核心素养的初中历史课堂教学实践探析——以《宋元时期的科技和中外交通》为例</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王丽</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巴中中学</w:t>
            </w:r>
          </w:p>
        </w:tc>
        <w:tc>
          <w:tcPr>
            <w:tcW w:w="985" w:type="dxa"/>
            <w:shd w:val="clear" w:color="auto" w:fill="auto"/>
            <w:noWrap w:val="0"/>
            <w:vAlign w:val="center"/>
          </w:tcPr>
          <w:p>
            <w:pPr>
              <w:spacing w:line="280" w:lineRule="exact"/>
              <w:jc w:val="center"/>
              <w:rPr>
                <w:rFonts w:hint="eastAsia" w:ascii="Calibri" w:eastAsia="宋体"/>
                <w:sz w:val="24"/>
                <w:szCs w:val="24"/>
              </w:rPr>
            </w:pPr>
          </w:p>
        </w:tc>
        <w:tc>
          <w:tcPr>
            <w:tcW w:w="2435" w:type="dxa"/>
            <w:shd w:val="clear" w:color="auto" w:fill="auto"/>
            <w:noWrap w:val="0"/>
            <w:vAlign w:val="center"/>
          </w:tcPr>
          <w:p>
            <w:pPr>
              <w:spacing w:line="280" w:lineRule="exact"/>
              <w:jc w:val="left"/>
              <w:rPr>
                <w:rFonts w:hint="eastAsia" w:asci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2</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浅谈新课标视域下初中历史教学思考</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刘曾艳</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攀枝花市密地外国语学校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3</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五育融合视野下博物馆综合实践课程的探索</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庞哲远</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四川省成都市七中育才学校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4</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基于“双减”和新课标的初中历史作业设计研究</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田红艳</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四川省资阳中学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彭潇</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资阳市教育科学研究所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5</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地方特色文化跨学科主题学习活动的实践探究——以成都“武侯祠”为例</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李敏</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成都市武侯区教育科学发展研究院</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宋叶</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北京第二外国语学院成都附属中学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6</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初中历史教学中史料实证核心素养落实策略浅探</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杜康林</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四川省南充市东观初级中学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7</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以初中历史教学逻辑为基础的无边界学习实践</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蒋忠巡</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成都市教育科学研究院附属学校（成都市天府实验学校）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杨勇</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成都市教育科学研究院附属学校（成都市天府实验学校）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8</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大概念教学下史料实证和历史解释素养的培养——以《中国古代开放的对外关系》教学设计为例</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田田</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德阳市第五中学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9</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基于核心素养下探索初中历史大单元教学路径——以“中国特色社会主义道路”为例</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毛  敏</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自贡市蜀光绿盛实验学校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10</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深耕乡土资源　创设校本化历史课堂</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李竹霞</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乐山市实验中学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11</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初中历史项目式学习的实践探究——以“明朝的那些人”项目学习为例</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邹元</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四川省岳池县第一中学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12</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基于历史学科素养的初中历史项目式学习课堂实践——以《清朝前期社会经济的发展》为例</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张桂枝</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绵阳中学英才学校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13</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历史课堂发展学生核心素养的实践研究</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单光宇</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船山区教育科学研究所</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14</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新课标视域下初中历史解释素养提升策略探讨——以历史小论文写作为例</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周彩霞</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绵阳市东辰学校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15</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核心素养导向下的中考历史命题研究与教学启示</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罗大培</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乐至县教师进修学校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卿辉</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四川省乐至中学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16</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大概念视域下初中历史教学设计初探——以《中国共产党诞生》为例</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童琳</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自贡市汇南实验学校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杜洪</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自贡市蜀光绿盛实验学校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17</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历史教学探索——初中学生口述历史活动实践</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何乐飞</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绵阳中学英才学校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18</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基于博物馆的初中历史教学实践与思考——以成都市金沙遗址博物馆为例</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刘辉</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成都市第二中学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19</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新课标背景下初中历史大单元教学的探索</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卢霞</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仁寿县文同实验初级中学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20</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“家国情怀”素养在初中历史教学中的实践途径初探</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袁维</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达州成都嘉祥外国语学校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21</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培养初中生时空观念素养主题教学实践探索——以“部编版”八年级上册主题教学为例</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李祥梅</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泸州市合江县城关初级中学校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22</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基于核心素养的初中历史课件制作材料选择研究</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陈红梅</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遂宁中学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23</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见微知著，“数”说历史——以《社会主义的发展与挫折》为例</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欧雪蓉</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四川省德阳市第五中学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24</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核心素养导向下初中历史单元作业设计策略探析</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张天水</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青川县教育科学研究中心</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25</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利用历史组图培养时空观念</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黄建辉</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屏山县屏山镇中心校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26</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论课文辅助系统在初中历史作业设计中的作用——以统编《中国历史》八年级上册为例</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李文妍</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攀枝花市教育科学研究所</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27</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基于大概念下的初中历史单元教学设计思考与探索——以《统一多民族国家建立和巩固的秦汉时期》为例</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罗珂</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四川省泸州高级中学校合江实验学校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4"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28</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大单元教学统摄下的初中历史PBL学习教学实践研究</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宋海容</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南充高级中学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29</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基于项目式初中历史跨学科主题学习探究——以“如何撰写历史人物小传”为例</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廖飞飞</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四川省德阳市第五中学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30</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浅析初中历史教学中乡土课程资源的开发与利用</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刘素静</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自贡市汇东实验学校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31</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基于大概念大单元教学理念下的课时教学设计</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何玉姣</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宜宾市四中</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32</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浅谈新课改后初中历史核心素养培养策略——以九龙县中学为例，深入培养学生的家国情怀素养</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袁小康</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九龙县中学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33</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“依标教学”之项目式学习实践探究——“以改革开放史老物件传讲”活动为例</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明向聪</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四川省德阳中学校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曹波</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四川省德阳中学校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34</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《情境教学在初中历史学科核心素养培育中的运用》</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徐忠丽</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内江市第一中学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35</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素养引领历史教学中时空观念实现路径探索</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周霞</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泸州市第十八中学校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36</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立足核心素养，创设历史情境——以初中“马克思主义的诞生和国际共产主义运动的兴起”一课为例</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吴开琼</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四川省罗江中学校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李</w:t>
            </w:r>
            <w:r>
              <w:rPr>
                <w:rFonts w:hint="eastAsia" w:ascii="微软雅黑" w:hAnsi="微软雅黑" w:eastAsia="微软雅黑" w:cs="微软雅黑"/>
                <w:sz w:val="24"/>
                <w:szCs w:val="24"/>
              </w:rPr>
              <w:t>堃</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四川省罗江中学校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37</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藏族学生初中“历史解释”素养的培养研究</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李洪强</w:t>
            </w:r>
          </w:p>
        </w:tc>
        <w:tc>
          <w:tcPr>
            <w:tcW w:w="2534" w:type="dxa"/>
            <w:shd w:val="clear" w:color="auto" w:fill="auto"/>
            <w:noWrap w:val="0"/>
            <w:vAlign w:val="center"/>
          </w:tcPr>
          <w:p>
            <w:pPr>
              <w:spacing w:line="280" w:lineRule="exact"/>
              <w:ind w:right="-106" w:rightChars="-33"/>
              <w:jc w:val="left"/>
              <w:rPr>
                <w:rFonts w:hint="eastAsia"/>
                <w:sz w:val="24"/>
                <w:szCs w:val="24"/>
              </w:rPr>
            </w:pPr>
            <w:r>
              <w:rPr>
                <w:rFonts w:hint="eastAsia"/>
                <w:sz w:val="24"/>
                <w:szCs w:val="24"/>
              </w:rPr>
              <w:t>色达县九年一贯制学校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38</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历史故事在初中历史教学中的运用</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杨流爽</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若尔盖县中学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39</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关于历史核心素养在有效提问中落地的方法初探——以《西欧庄园》为例</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李环</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内江六中</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40</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基于发展学生核心素养的初中历史课堂教学实践研究</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褚晓玲</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攀枝花市第七高级中学校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41</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高考评价体系下，完全中学历史学科培养目标的整体构建</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张君</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乐山市市中区海棠实验中学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42</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劳动育人理念融入初中历史教学的路径分析</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郑清华</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绵阳市东辰学校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唐睿</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绵阳市东辰学校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43</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初中历史史料实证核心素养培养探究</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敖红</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仁寿县文同实验初级中学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44</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核心素养视角下的初中历史单元教学初探——以秦汉时期为例</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邓霞</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隆昌市第二初级中学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45</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聚焦课堂教学  落实核心素养 -----以历史教科书“课后活动”为切入点</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杨静</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四川省武胜县城南初级中学校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46</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核心素养视角下的历史学科大概念与苏霍姆林斯基两套教学大纲</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陈廷发</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旺苍县九龙镇中心小学校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47</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“题”炼精彩，“单”当使命——中考历史复习策略探究</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周梅</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四川省泸州市第一中学校</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48</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七年级历史家国情怀素养培育策略探究</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李生龙</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珙县实验中学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49</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以核心素养为导向的单元主题整合教学探索</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周永强</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南江县实验中学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陈晨</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南江县实验中学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50</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指向新课标的初中历史期末复习策略研究</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向宇</w:t>
            </w:r>
          </w:p>
        </w:tc>
        <w:tc>
          <w:tcPr>
            <w:tcW w:w="2534" w:type="dxa"/>
            <w:shd w:val="clear" w:color="auto" w:fill="auto"/>
            <w:noWrap w:val="0"/>
            <w:vAlign w:val="center"/>
          </w:tcPr>
          <w:p>
            <w:pPr>
              <w:spacing w:line="280" w:lineRule="exact"/>
              <w:jc w:val="left"/>
              <w:rPr>
                <w:rFonts w:hint="eastAsia"/>
                <w:sz w:val="24"/>
                <w:szCs w:val="24"/>
              </w:rPr>
            </w:pPr>
            <w:r>
              <w:rPr>
                <w:rFonts w:hint="eastAsia"/>
                <w:sz w:val="24"/>
                <w:szCs w:val="24"/>
              </w:rPr>
              <w:t>四川省华蓥中学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2" w:type="dxa"/>
            <w:shd w:val="clear" w:color="auto" w:fill="auto"/>
            <w:noWrap w:val="0"/>
            <w:vAlign w:val="center"/>
          </w:tcPr>
          <w:p>
            <w:pPr>
              <w:spacing w:line="280" w:lineRule="exact"/>
              <w:jc w:val="center"/>
              <w:rPr>
                <w:rFonts w:hint="eastAsia" w:ascii="宋体" w:hAnsi="宋体" w:eastAsia="宋体"/>
                <w:sz w:val="24"/>
                <w:szCs w:val="24"/>
              </w:rPr>
            </w:pPr>
            <w:r>
              <w:rPr>
                <w:rFonts w:hint="eastAsia" w:ascii="宋体" w:hAnsi="宋体" w:eastAsia="宋体"/>
                <w:sz w:val="24"/>
                <w:szCs w:val="24"/>
              </w:rPr>
              <w:t>51</w:t>
            </w:r>
          </w:p>
        </w:tc>
        <w:tc>
          <w:tcPr>
            <w:tcW w:w="6313" w:type="dxa"/>
            <w:shd w:val="clear" w:color="auto" w:fill="auto"/>
            <w:noWrap w:val="0"/>
            <w:vAlign w:val="center"/>
          </w:tcPr>
          <w:p>
            <w:pPr>
              <w:spacing w:line="280" w:lineRule="exact"/>
              <w:jc w:val="left"/>
              <w:rPr>
                <w:rFonts w:hint="eastAsia"/>
                <w:sz w:val="24"/>
                <w:szCs w:val="24"/>
              </w:rPr>
            </w:pPr>
            <w:r>
              <w:rPr>
                <w:rFonts w:hint="eastAsia"/>
                <w:sz w:val="24"/>
                <w:szCs w:val="24"/>
              </w:rPr>
              <w:t>雅安市本土红色资源与初中历史教学融合研究</w:t>
            </w:r>
          </w:p>
        </w:tc>
        <w:tc>
          <w:tcPr>
            <w:tcW w:w="1176" w:type="dxa"/>
            <w:shd w:val="clear" w:color="auto" w:fill="auto"/>
            <w:noWrap w:val="0"/>
            <w:vAlign w:val="center"/>
          </w:tcPr>
          <w:p>
            <w:pPr>
              <w:spacing w:line="280" w:lineRule="exact"/>
              <w:jc w:val="center"/>
              <w:rPr>
                <w:rFonts w:hint="eastAsia"/>
                <w:sz w:val="24"/>
                <w:szCs w:val="24"/>
              </w:rPr>
            </w:pPr>
            <w:r>
              <w:rPr>
                <w:rFonts w:hint="eastAsia"/>
                <w:sz w:val="24"/>
                <w:szCs w:val="24"/>
              </w:rPr>
              <w:t>范冰亮</w:t>
            </w:r>
          </w:p>
        </w:tc>
        <w:tc>
          <w:tcPr>
            <w:tcW w:w="2534" w:type="dxa"/>
            <w:shd w:val="clear" w:color="auto" w:fill="auto"/>
            <w:noWrap w:val="0"/>
            <w:vAlign w:val="center"/>
          </w:tcPr>
          <w:p>
            <w:pPr>
              <w:spacing w:line="280" w:lineRule="exact"/>
              <w:ind w:left="-16" w:leftChars="-5" w:right="-90" w:rightChars="-28"/>
              <w:jc w:val="left"/>
              <w:rPr>
                <w:rFonts w:hint="eastAsia"/>
                <w:sz w:val="24"/>
                <w:szCs w:val="24"/>
              </w:rPr>
            </w:pPr>
            <w:r>
              <w:rPr>
                <w:rFonts w:hint="eastAsia"/>
                <w:sz w:val="24"/>
                <w:szCs w:val="24"/>
              </w:rPr>
              <w:t>雨城区上里镇初级中学</w:t>
            </w:r>
          </w:p>
        </w:tc>
        <w:tc>
          <w:tcPr>
            <w:tcW w:w="985" w:type="dxa"/>
            <w:shd w:val="clear" w:color="auto" w:fill="auto"/>
            <w:noWrap w:val="0"/>
            <w:vAlign w:val="center"/>
          </w:tcPr>
          <w:p>
            <w:pPr>
              <w:spacing w:line="280" w:lineRule="exact"/>
              <w:jc w:val="center"/>
              <w:rPr>
                <w:rFonts w:hint="eastAsia"/>
                <w:sz w:val="24"/>
                <w:szCs w:val="24"/>
              </w:rPr>
            </w:pPr>
            <w:r>
              <w:rPr>
                <w:rFonts w:hint="eastAsia"/>
                <w:sz w:val="24"/>
                <w:szCs w:val="24"/>
              </w:rPr>
              <w:t>　</w:t>
            </w:r>
          </w:p>
        </w:tc>
        <w:tc>
          <w:tcPr>
            <w:tcW w:w="2435" w:type="dxa"/>
            <w:shd w:val="clear" w:color="auto" w:fill="auto"/>
            <w:noWrap w:val="0"/>
            <w:vAlign w:val="center"/>
          </w:tcPr>
          <w:p>
            <w:pPr>
              <w:spacing w:line="280" w:lineRule="exact"/>
              <w:jc w:val="left"/>
              <w:rPr>
                <w:rFonts w:hint="eastAsia"/>
                <w:sz w:val="24"/>
                <w:szCs w:val="24"/>
              </w:rPr>
            </w:pPr>
            <w:r>
              <w:rPr>
                <w:rFonts w:hint="eastAsia"/>
                <w:sz w:val="24"/>
                <w:szCs w:val="24"/>
              </w:rPr>
              <w:t>　</w:t>
            </w:r>
          </w:p>
        </w:tc>
      </w:tr>
    </w:tbl>
    <w:p>
      <w:pPr>
        <w:spacing w:line="600" w:lineRule="exact"/>
        <w:jc w:val="center"/>
        <w:rPr>
          <w:rFonts w:ascii="楷体_GB2312" w:eastAsia="楷体_GB2312"/>
          <w:b/>
          <w:szCs w:val="32"/>
        </w:rPr>
      </w:pPr>
      <w:r>
        <w:rPr>
          <w:rFonts w:hint="eastAsia" w:ascii="黑体" w:hAnsi="黑体" w:eastAsia="黑体"/>
          <w:szCs w:val="32"/>
        </w:rPr>
        <w:t>三等奖</w:t>
      </w:r>
      <w:r>
        <w:rPr>
          <w:rFonts w:hint="eastAsia" w:ascii="楷体_GB2312" w:eastAsia="楷体_GB2312"/>
          <w:b/>
          <w:szCs w:val="32"/>
        </w:rPr>
        <w:t>（</w:t>
      </w:r>
      <w:r>
        <w:rPr>
          <w:rFonts w:ascii="楷体_GB2312" w:eastAsia="楷体_GB2312"/>
          <w:b/>
          <w:szCs w:val="32"/>
        </w:rPr>
        <w:t>92</w:t>
      </w:r>
      <w:r>
        <w:rPr>
          <w:rFonts w:hint="eastAsia" w:ascii="楷体_GB2312" w:eastAsia="楷体_GB2312"/>
          <w:b/>
          <w:szCs w:val="32"/>
        </w:rPr>
        <w:t>篇）</w:t>
      </w:r>
    </w:p>
    <w:tbl>
      <w:tblPr>
        <w:tblStyle w:val="7"/>
        <w:tblW w:w="14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6313"/>
        <w:gridCol w:w="1190"/>
        <w:gridCol w:w="2520"/>
        <w:gridCol w:w="1022"/>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6313" w:type="dxa"/>
            <w:shd w:val="clear" w:color="auto" w:fill="auto"/>
            <w:noWrap w:val="0"/>
            <w:vAlign w:val="center"/>
          </w:tcPr>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资源名称</w:t>
            </w:r>
          </w:p>
        </w:tc>
        <w:tc>
          <w:tcPr>
            <w:tcW w:w="1190" w:type="dxa"/>
            <w:shd w:val="clear" w:color="auto" w:fill="auto"/>
            <w:noWrap w:val="0"/>
            <w:vAlign w:val="center"/>
          </w:tcPr>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第一</w:t>
            </w:r>
          </w:p>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作者</w:t>
            </w:r>
          </w:p>
        </w:tc>
        <w:tc>
          <w:tcPr>
            <w:tcW w:w="2520" w:type="dxa"/>
            <w:shd w:val="clear" w:color="auto" w:fill="auto"/>
            <w:noWrap w:val="0"/>
            <w:vAlign w:val="center"/>
          </w:tcPr>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单位名称</w:t>
            </w:r>
          </w:p>
        </w:tc>
        <w:tc>
          <w:tcPr>
            <w:tcW w:w="1022" w:type="dxa"/>
            <w:shd w:val="clear" w:color="auto" w:fill="auto"/>
            <w:noWrap w:val="0"/>
            <w:vAlign w:val="center"/>
          </w:tcPr>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第二</w:t>
            </w:r>
          </w:p>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作者</w:t>
            </w:r>
          </w:p>
        </w:tc>
        <w:tc>
          <w:tcPr>
            <w:tcW w:w="2414" w:type="dxa"/>
            <w:shd w:val="clear" w:color="auto" w:fill="auto"/>
            <w:noWrap w:val="0"/>
            <w:vAlign w:val="center"/>
          </w:tcPr>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核心素养下历史故事在初中历史教学中的应用探究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唐金鑫</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四川省甘孜藏族自治州康定中学校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基于发展学生核心素养的课堂教学实践研究——以“青铜器”为例研究本土文化资源在历史教学中的应用</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秦珊</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达州嘉祥外国语学校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“依标教学”理念下初中历史教学中发展学生核心素养的策略探讨</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林芝红</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四川省泸定中学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论培养初中学生时空观念的策略</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何松林</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南部县建兴中学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浅谈民族地区初中历史课程及新课标实施策略</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龚仕明</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汶川县七一映秀中学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将宜宾地方课程资源应用于“四史”教学——以“抗日战争”为例</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王一婷</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宜宾市南溪区南外实验学校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张钰兰</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宜宾市南溪区南外实验学校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学科大概念下初中历史单元教学的思考</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王燕</w:t>
            </w:r>
          </w:p>
        </w:tc>
        <w:tc>
          <w:tcPr>
            <w:tcW w:w="2520" w:type="dxa"/>
            <w:shd w:val="clear" w:color="auto" w:fill="auto"/>
            <w:noWrap w:val="0"/>
            <w:vAlign w:val="center"/>
          </w:tcPr>
          <w:p>
            <w:pPr>
              <w:widowControl/>
              <w:spacing w:line="280" w:lineRule="exact"/>
              <w:ind w:right="-93" w:rightChars="-29"/>
              <w:jc w:val="left"/>
              <w:rPr>
                <w:rFonts w:hint="eastAsia" w:hAnsi="宋体" w:cs="宋体"/>
                <w:kern w:val="0"/>
                <w:sz w:val="24"/>
                <w:szCs w:val="24"/>
              </w:rPr>
            </w:pPr>
            <w:r>
              <w:rPr>
                <w:rFonts w:hint="eastAsia" w:hAnsi="宋体" w:cs="宋体"/>
                <w:kern w:val="0"/>
                <w:sz w:val="24"/>
                <w:szCs w:val="24"/>
              </w:rPr>
              <w:t>四川省科学城第一中学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基于发展学生核心素养的课堂教学研究——以培育初中生的家国情怀核心素养为题</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谭鲜</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南充市陈寿中学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新课标下试卷命制多维细目表的构建</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代焰明</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内江市教科所</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浅谈如何在初中历史课堂教学中践行立德树人</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刘红梅</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广元市利州区中小学教研室</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跨越历史，穿越时空，寻找真实</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曾佳丽</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中江县永兴镇中心学校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基于发展学生核心素养的课堂教学实践研究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施文涛</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仁寿县长平初级中学校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引领学生深度思考 助力核心素养落地——以史前时期的教学策略为例</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蒲燕</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遂宁高级实验学校外国语学校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基于发展学生核心素养的 课堂教学实践研究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龙华吉</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红原县藏文中学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浅谈初中历史大概念下的大单元教学设计策略——以《新中国初期的民主政治》为例</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曾建容</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成都经济技术开发区实验中学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核心素养导向下地方红色资源开发与应用研究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黄霞</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天全县始阳中学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基于发展学生时空观念的课堂教学探究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胡晓利</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苏洵初级中学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促进学生核心素养发展的初中历史课堂评价</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次仁珍爱</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稻城县东义九年义务教育学校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利用地方课程资源开展初中党史教育——以“党的好儿女，宜宾英雄赵一曼”主题教学为例</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罗丹</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宜宾东辰学校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核心素养背景下的初中历史课堂提问策略</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林翠</w:t>
            </w:r>
          </w:p>
        </w:tc>
        <w:tc>
          <w:tcPr>
            <w:tcW w:w="2520" w:type="dxa"/>
            <w:shd w:val="clear" w:color="auto" w:fill="auto"/>
            <w:noWrap w:val="0"/>
            <w:vAlign w:val="center"/>
          </w:tcPr>
          <w:p>
            <w:pPr>
              <w:widowControl/>
              <w:spacing w:line="280" w:lineRule="exact"/>
              <w:ind w:right="-106" w:rightChars="-33"/>
              <w:jc w:val="left"/>
              <w:rPr>
                <w:rFonts w:hint="eastAsia" w:hAnsi="宋体" w:cs="宋体"/>
                <w:kern w:val="0"/>
                <w:sz w:val="24"/>
                <w:szCs w:val="24"/>
              </w:rPr>
            </w:pPr>
            <w:r>
              <w:rPr>
                <w:rFonts w:hint="eastAsia" w:hAnsi="宋体" w:cs="宋体"/>
                <w:kern w:val="0"/>
                <w:sz w:val="24"/>
                <w:szCs w:val="24"/>
              </w:rPr>
              <w:t>四川省南充市白塔中学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双减背景下历史学科单元作业设计路径——以《经济危机与第二次世界大战》为例</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尹亮</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富顺第二中学校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主体视域下的初中历史分层作业的思考与初探</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张海丽</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乐山市市中区海棠实验中学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基于发展学生核心素养的初中历史课堂教学评价研究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王建</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达州市第一中学校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唯物史观指导下的初中历史教学——以《西欧经济和社会的发展》为例</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蒋显芳</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宜宾翠屏龙文学校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基于史料实证素养的初中历史教学探究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贾强</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通江县诺水河初级中学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基于发展学生核心素养的课堂教学实践研究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王羽平</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犍为县清溪初级中学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浅谈新课标背景下的初中历史跨学科主题教学实践</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郭燕</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成都经济技术开发区实验中学校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本土资源在初中历史教学中的有效利用</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江小娇</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乐山市沙湾绥山初级中学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核心素养语境下初中历史命题研究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蒋芹</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富乐实验中学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基于发展学生核心素养的课堂教学实践研究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陈利</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雅安中学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如何提高初中历史课堂学生的参与度</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彭英</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仁寿县城北实验初级中学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立足核心素养，构建“大单元教学模式”探究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杨忠玲</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内江铁路中学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33</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新课标改革的背景下如何打造初中历史的高效课堂</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泽仁拥中</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雅江县呷拉镇初级中学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武胜红色资源融入初中历史课教学的实践研究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胡玉成</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武胜龙女湖中学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核心素养背景下的初中历史开放性作业设计探究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凌静</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四川省资阳中学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王仙</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四川省资阳中学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36</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新课标下增强初中历史课堂活力的有效措施</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赵燕青</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马尔康市第二中学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37</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荣经县乡土史资源在初中历史教学中的运用</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袁圆</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荥经县严道第二初级中学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38</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新课标理念下初中历史跨学科策略研究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何贤俊</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乐山市市中区海棠实验中学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39</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图片史料在七年级历史教学中的开发与应用</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邓冬梅</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四川省仁寿实验中学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“家国情怀”的历史渊源和培养路径探究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韩斌</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天全县第二初级中学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41</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初中历史核心素养落地的策略实践与思考</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谢丹</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四川省达州市第一中学校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基于“依标教学”的家国情怀素养培养策略探究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尹惠</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资阳市雁江区三贤九年义务教育学校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杨眉</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资阳市雁江区三贤九年义务教育学校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43</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初中历史核心素养的渗透路径——以时空观念为例</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先钰沛</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泸州老窖天府中学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44</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历史教学要关注历史的“另一面”</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代明珠</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四川省华蓥职业技术学校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45</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聚焦历史跨学科教学  贯穿落实“四史”教育——以《唱响国际歌》为例</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张晓淑</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德阳市第五中学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46</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历史项目化学习中问题探究的设计初探——以《人民解放战争的胜利》为例</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雷瞳</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华蓥市阳和初级中学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47</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初中历史教学在同步课堂的实践探索 -以稻城县中学为例</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何剑</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稻城县中学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“教-学-评”一体化视角下前置学习实践</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邓力夫</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安岳县天宝九年制学校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49</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浅谈《义务教育历史课程标准（2022年版）》的落实策略</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黄娟</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内江市第七中学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基于核心素养下的达州中考历史研究与解析</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蒲静</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万源中学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51</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《义务教育课程历史课程标准（2022）》的理解与落实策略研究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张磊</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南湖初级中学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52</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基于发展学生核心素养的初中历史课堂教学实践研究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刘冰</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四川省青川县第一高级中学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53</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试论初中历史教学如何开展课外历史活动</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赵云建</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大竹县石河中学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54</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新课改背景下学生自主命题初探与实践</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陈雪莉</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宁南县三峡白鹤滩学校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55</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探寻红色文化的历史基因，厚植学生家国情怀</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张玉碧</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纳溪中学附属棉花坡学校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56</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红色歌曲在初中历史教学中的有效应用</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杨利</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荥经县严道第二初级中学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57</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基于时政提升初中历史课堂的时效性</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徐聪芝</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四川省大英中学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58</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初中历史教学中融入“家国情怀”教育的策略与实践</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林秀英</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乐山外国语学校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59</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“双减”背景下初中历史课堂教学实践研究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汪霞</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冕宁县第二中学校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初中历史教学中培养“家国情怀”的有效途径</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曹雯钦</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四川省通江中学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邹斌</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四川省通江中学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61</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浅谈初中历史教学中家国情怀核心素养的培养策略</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邓伟</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遂宁涪江中学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62</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核心素养理念下的初中历史课堂教学</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范娟</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会东县中学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63</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基于发展学生素养的初中历史课堂教学实践研究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朱跃梅</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盐边县第一初级中学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64</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如何依托历史地图培养学生时空观念核心素养的课堂教学研究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李书平</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天全县第二初级中学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65</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先声夺人扣动灵魂亲近学生——双减背景下的初中历史探究课堂构建</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宋祺玲</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资阳市雁江区第二中学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66</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跨学科主题教学在初中历史课堂导入中的运用探究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王靖</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华蓥市高兴镇高坪小学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67</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如何在历史教学实践中渗入国家安全教育</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周兴云</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宁南县三峡白鹤滩学校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68</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初中历史培养学生核心素养课堂教学实践探究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赖健</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理县中学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69</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国学智慧滋养着历史课堂教学</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白辉</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旺苍县普济中学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70</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“双减”背景下运用新课标落实培根铸魂的策略探索</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余彩虹</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四川省遂宁市第一中学校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71</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基于发展核心素养的初中历史课堂教学实践研究——以《科技文化成就》一课为例</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吴蒙娜</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四川省泸定中学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72</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学生核心素养下历史地图——在初中历史课堂教学中的应用</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梁芳</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广元市利州中学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73</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浅谈初中历史课堂的家国情怀素养的培养</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曾思秋</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攀枝花市第三十六中小学校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74</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概述“史料实证”对历史教学的推进——以汉代农业的发现和研究为例</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吴虹霖</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威远县严陵中学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75</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初中生历史时空观念素养分析与培养策略研究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尹雪莲</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开江中学实验学校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76</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新课标理念下的初中历史课程核心素养培育路径探索</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毛慧群</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宣汉县双河中学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77</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浅析基于新课标的初中历史教学策略</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蒲姗伲</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剑阁县龙源育才学校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78</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浅谈时空观念在初中历史教学中的培养</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熊志</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通江县诺水河镇初级中学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79</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新课标增强初中历史课堂活力的有效措施</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龚兰</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会东县和文中学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基于双减双新初中历史教学中史料知识的合理运用</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袁先琼</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小金县教育局</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81</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浅谈把核心素养融入初中历史教学实践</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何国栋</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四川省大英中学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张代樱</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四川省大英中学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82</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浅谈在历史教学中对学生“家国情怀”核心素养的培养</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梁朝凤</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金川县观音桥镇第一中小学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83</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“学习”——课堂的永恒旋律</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王治强</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安岳县兴隆教育督导组</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84</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基于新课标背景的初中历史教学策略研究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娄尚韵</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会理市民族中学（会理市实验中学）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85</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新课标下增强初中历史课堂活力的有效措施</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季克芳</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西昌市西昌航天学校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86</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新课程改革下的初中历史整合策略探究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徐思甜</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仁寿县长平初级中学校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87</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对《义务教育历史课程标准（2022年版）》的理解与落实策略研究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陈新</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通江县洪口初级中学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88</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基于发展学生核心素养的课堂教学实践研究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王旭瑶</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荥经县严道第一初级中学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89</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基于发展学生核心素养课堂教学模式的探究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张秋香</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广元市利州中学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90</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核心素养融入初中历史课堂教学浅谈</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王斌</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西华师范大学附属巴中实验中学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91</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以试题为导向培养学生历史学科核心素养</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曹鸿</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威远县连界镇初级中学校</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1" w:type="dxa"/>
            <w:shd w:val="clear" w:color="auto" w:fill="auto"/>
            <w:noWrap w:val="0"/>
            <w:vAlign w:val="center"/>
          </w:tcPr>
          <w:p>
            <w:pPr>
              <w:widowControl/>
              <w:spacing w:line="280" w:lineRule="exact"/>
              <w:ind w:left="-58" w:leftChars="-18" w:right="-74" w:rightChars="-23"/>
              <w:jc w:val="center"/>
              <w:rPr>
                <w:rFonts w:hint="eastAsia" w:ascii="宋体" w:hAnsi="宋体" w:eastAsia="宋体" w:cs="宋体"/>
                <w:kern w:val="0"/>
                <w:sz w:val="24"/>
                <w:szCs w:val="24"/>
              </w:rPr>
            </w:pPr>
            <w:r>
              <w:rPr>
                <w:rFonts w:hint="eastAsia" w:ascii="宋体" w:hAnsi="宋体" w:eastAsia="宋体" w:cs="宋体"/>
                <w:kern w:val="0"/>
                <w:sz w:val="24"/>
                <w:szCs w:val="24"/>
              </w:rPr>
              <w:t>92</w:t>
            </w:r>
          </w:p>
        </w:tc>
        <w:tc>
          <w:tcPr>
            <w:tcW w:w="6313"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初中历史课堂“快乐学习”教学研究</w:t>
            </w:r>
          </w:p>
        </w:tc>
        <w:tc>
          <w:tcPr>
            <w:tcW w:w="1190"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毛莉</w:t>
            </w:r>
          </w:p>
        </w:tc>
        <w:tc>
          <w:tcPr>
            <w:tcW w:w="2520"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小金中学</w:t>
            </w:r>
          </w:p>
        </w:tc>
        <w:tc>
          <w:tcPr>
            <w:tcW w:w="1022" w:type="dxa"/>
            <w:shd w:val="clear" w:color="auto" w:fill="auto"/>
            <w:noWrap w:val="0"/>
            <w:vAlign w:val="center"/>
          </w:tcPr>
          <w:p>
            <w:pPr>
              <w:widowControl/>
              <w:spacing w:line="280" w:lineRule="exact"/>
              <w:jc w:val="center"/>
              <w:rPr>
                <w:rFonts w:hint="eastAsia" w:hAnsi="宋体" w:cs="宋体"/>
                <w:kern w:val="0"/>
                <w:sz w:val="24"/>
                <w:szCs w:val="24"/>
              </w:rPr>
            </w:pPr>
            <w:r>
              <w:rPr>
                <w:rFonts w:hint="eastAsia" w:hAnsi="宋体" w:cs="宋体"/>
                <w:kern w:val="0"/>
                <w:sz w:val="24"/>
                <w:szCs w:val="24"/>
              </w:rPr>
              <w:t>　</w:t>
            </w:r>
          </w:p>
        </w:tc>
        <w:tc>
          <w:tcPr>
            <w:tcW w:w="2414" w:type="dxa"/>
            <w:shd w:val="clear" w:color="auto" w:fill="auto"/>
            <w:noWrap w:val="0"/>
            <w:vAlign w:val="center"/>
          </w:tcPr>
          <w:p>
            <w:pPr>
              <w:widowControl/>
              <w:spacing w:line="280" w:lineRule="exact"/>
              <w:jc w:val="left"/>
              <w:rPr>
                <w:rFonts w:hint="eastAsia" w:hAnsi="宋体" w:cs="宋体"/>
                <w:kern w:val="0"/>
                <w:sz w:val="24"/>
                <w:szCs w:val="24"/>
              </w:rPr>
            </w:pPr>
            <w:r>
              <w:rPr>
                <w:rFonts w:hint="eastAsia" w:hAnsi="宋体" w:cs="宋体"/>
                <w:kern w:val="0"/>
                <w:sz w:val="24"/>
                <w:szCs w:val="24"/>
              </w:rPr>
              <w:t>　</w:t>
            </w:r>
          </w:p>
        </w:tc>
      </w:tr>
    </w:tbl>
    <w:p>
      <w:pPr>
        <w:spacing w:line="20" w:lineRule="exact"/>
        <w:rPr>
          <w:rFonts w:hint="eastAsia" w:ascii="方正小标宋简体" w:eastAsia="方正小标宋简体"/>
          <w:sz w:val="10"/>
          <w:szCs w:val="10"/>
        </w:rPr>
      </w:pPr>
    </w:p>
    <w:p>
      <w:pPr>
        <w:autoSpaceDE w:val="0"/>
        <w:autoSpaceDN w:val="0"/>
        <w:adjustRightInd w:val="0"/>
        <w:spacing w:line="570" w:lineRule="exact"/>
        <w:jc w:val="left"/>
        <w:rPr>
          <w:rFonts w:hint="eastAsia"/>
        </w:rPr>
      </w:pPr>
    </w:p>
    <w:sectPr>
      <w:pgSz w:w="16838" w:h="11906" w:orient="landscape"/>
      <w:pgMar w:top="1588" w:right="1701" w:bottom="1474" w:left="1985" w:header="1701" w:footer="1588" w:gutter="0"/>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22457F-E50A-42A7-8967-14394C9DD9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373EC21-4EA5-4D10-A6ED-63D163E2F826}"/>
  </w:font>
  <w:font w:name="仿宋_GB2312">
    <w:panose1 w:val="02010609030101010101"/>
    <w:charset w:val="86"/>
    <w:family w:val="modern"/>
    <w:pitch w:val="default"/>
    <w:sig w:usb0="00000001" w:usb1="080E0000" w:usb2="00000000" w:usb3="00000000" w:csb0="00040000" w:csb1="00000000"/>
    <w:embedRegular r:id="rId3" w:fontKey="{A727D2DF-7AF2-4A33-919F-01D9ECBB33AB}"/>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4" w:fontKey="{BEB9FE88-1B99-4E53-8EF7-8B688E7C19FC}"/>
  </w:font>
  <w:font w:name="方正小标宋_GBK">
    <w:panose1 w:val="02000000000000000000"/>
    <w:charset w:val="86"/>
    <w:family w:val="script"/>
    <w:pitch w:val="default"/>
    <w:sig w:usb0="00000001" w:usb1="080E0000" w:usb2="00000000" w:usb3="00000000" w:csb0="00040000" w:csb1="00000000"/>
    <w:embedRegular r:id="rId5" w:fontKey="{0DC107CD-2F4A-4D53-A816-EAB0A6D16ECE}"/>
  </w:font>
  <w:font w:name="微软雅黑">
    <w:panose1 w:val="020B0503020204020204"/>
    <w:charset w:val="86"/>
    <w:family w:val="swiss"/>
    <w:pitch w:val="default"/>
    <w:sig w:usb0="80000287" w:usb1="2ACF3C50" w:usb2="00000016" w:usb3="00000000" w:csb0="0004001F" w:csb1="00000000"/>
    <w:embedRegular r:id="rId6" w:fontKey="{B746800A-2564-40F5-B8E6-B843D38D8E1E}"/>
  </w:font>
  <w:font w:name="楷体_GB2312">
    <w:panose1 w:val="02010609030101010101"/>
    <w:charset w:val="86"/>
    <w:family w:val="modern"/>
    <w:pitch w:val="default"/>
    <w:sig w:usb0="00000001" w:usb1="080E0000" w:usb2="00000000" w:usb3="00000000" w:csb0="00040000" w:csb1="00000000"/>
    <w:embedRegular r:id="rId7" w:fontKey="{D7FBBA41-A4C2-449E-967A-120E71D541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60" w:right="320" w:rightChars="100"/>
      <w:rPr>
        <w:rStyle w:val="10"/>
        <w:rFonts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lang/>
      </w:rPr>
      <w:t>9</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280" w:firstLineChars="100"/>
      <w:rPr>
        <w:rStyle w:val="10"/>
        <w:rFonts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lang/>
      </w:rPr>
      <w:t>8</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89"/>
    <w:rsid w:val="000264EF"/>
    <w:rsid w:val="00044D70"/>
    <w:rsid w:val="00044F73"/>
    <w:rsid w:val="00045504"/>
    <w:rsid w:val="00055741"/>
    <w:rsid w:val="00076702"/>
    <w:rsid w:val="00097802"/>
    <w:rsid w:val="000B3BDF"/>
    <w:rsid w:val="000B4122"/>
    <w:rsid w:val="000D4E2F"/>
    <w:rsid w:val="000D7D74"/>
    <w:rsid w:val="000E0BA2"/>
    <w:rsid w:val="00125CB7"/>
    <w:rsid w:val="0017251B"/>
    <w:rsid w:val="00186066"/>
    <w:rsid w:val="001C2E92"/>
    <w:rsid w:val="001E1340"/>
    <w:rsid w:val="001E33AD"/>
    <w:rsid w:val="00204B1B"/>
    <w:rsid w:val="00233BB8"/>
    <w:rsid w:val="0027146D"/>
    <w:rsid w:val="002C06BB"/>
    <w:rsid w:val="002D5AD9"/>
    <w:rsid w:val="00344694"/>
    <w:rsid w:val="003477F0"/>
    <w:rsid w:val="0036369B"/>
    <w:rsid w:val="00364ED6"/>
    <w:rsid w:val="00373EE4"/>
    <w:rsid w:val="00376D8D"/>
    <w:rsid w:val="003A1352"/>
    <w:rsid w:val="003D37E3"/>
    <w:rsid w:val="003D6220"/>
    <w:rsid w:val="003F1B31"/>
    <w:rsid w:val="003F31A2"/>
    <w:rsid w:val="003F3AE5"/>
    <w:rsid w:val="004019A3"/>
    <w:rsid w:val="00410E51"/>
    <w:rsid w:val="00411CBC"/>
    <w:rsid w:val="00432EC9"/>
    <w:rsid w:val="0043472A"/>
    <w:rsid w:val="0046233F"/>
    <w:rsid w:val="00472BE3"/>
    <w:rsid w:val="004765C0"/>
    <w:rsid w:val="00487E6B"/>
    <w:rsid w:val="004A3A2C"/>
    <w:rsid w:val="004A7630"/>
    <w:rsid w:val="004B24F5"/>
    <w:rsid w:val="004B43B0"/>
    <w:rsid w:val="004B6428"/>
    <w:rsid w:val="00532497"/>
    <w:rsid w:val="005353FA"/>
    <w:rsid w:val="0055629A"/>
    <w:rsid w:val="0056348E"/>
    <w:rsid w:val="00574B8B"/>
    <w:rsid w:val="005967E8"/>
    <w:rsid w:val="005A1EE1"/>
    <w:rsid w:val="005C0E22"/>
    <w:rsid w:val="005C504F"/>
    <w:rsid w:val="005D6BE2"/>
    <w:rsid w:val="005E49CC"/>
    <w:rsid w:val="005E5A29"/>
    <w:rsid w:val="00642A6F"/>
    <w:rsid w:val="00673498"/>
    <w:rsid w:val="00683971"/>
    <w:rsid w:val="006B4649"/>
    <w:rsid w:val="006E748C"/>
    <w:rsid w:val="0072288C"/>
    <w:rsid w:val="00727AAC"/>
    <w:rsid w:val="007619F1"/>
    <w:rsid w:val="00817A91"/>
    <w:rsid w:val="00851E67"/>
    <w:rsid w:val="0087334F"/>
    <w:rsid w:val="00902E84"/>
    <w:rsid w:val="0091274E"/>
    <w:rsid w:val="00941353"/>
    <w:rsid w:val="0094140B"/>
    <w:rsid w:val="009E1255"/>
    <w:rsid w:val="00A37F45"/>
    <w:rsid w:val="00A53430"/>
    <w:rsid w:val="00A74A98"/>
    <w:rsid w:val="00AB4B85"/>
    <w:rsid w:val="00B57716"/>
    <w:rsid w:val="00B66B2E"/>
    <w:rsid w:val="00B8116A"/>
    <w:rsid w:val="00C1545F"/>
    <w:rsid w:val="00C3563A"/>
    <w:rsid w:val="00C35A92"/>
    <w:rsid w:val="00C41C97"/>
    <w:rsid w:val="00CB3F89"/>
    <w:rsid w:val="00CD131F"/>
    <w:rsid w:val="00CF4B0A"/>
    <w:rsid w:val="00D36EB4"/>
    <w:rsid w:val="00D929B2"/>
    <w:rsid w:val="00D96C0A"/>
    <w:rsid w:val="00DB5960"/>
    <w:rsid w:val="00DD2DB7"/>
    <w:rsid w:val="00E1791B"/>
    <w:rsid w:val="00E3035E"/>
    <w:rsid w:val="00E448CB"/>
    <w:rsid w:val="00E60F01"/>
    <w:rsid w:val="00EA1B49"/>
    <w:rsid w:val="00EA254F"/>
    <w:rsid w:val="00EC537D"/>
    <w:rsid w:val="00ED2E46"/>
    <w:rsid w:val="00EE6D2B"/>
    <w:rsid w:val="00F01A87"/>
    <w:rsid w:val="00F2715E"/>
    <w:rsid w:val="00F534EE"/>
    <w:rsid w:val="00F56DFE"/>
    <w:rsid w:val="00F83F7E"/>
    <w:rsid w:val="00F84A61"/>
    <w:rsid w:val="00F93F5D"/>
    <w:rsid w:val="00F96D0F"/>
    <w:rsid w:val="00FA0963"/>
    <w:rsid w:val="00FA1CDE"/>
    <w:rsid w:val="00FB2A98"/>
    <w:rsid w:val="00FB55E9"/>
    <w:rsid w:val="5CCA4B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Style w:val="7"/>
      <w:tblCellMar>
        <w:top w:w="0" w:type="dxa"/>
        <w:left w:w="108" w:type="dxa"/>
        <w:bottom w:w="0" w:type="dxa"/>
        <w:right w:w="108" w:type="dxa"/>
      </w:tblCellMar>
    </w:tblPr>
    <w:trPr>
      <w:wBefore w:w="0" w:type="dxa"/>
    </w:trPr>
  </w:style>
  <w:style w:type="paragraph" w:styleId="2">
    <w:name w:val="Date"/>
    <w:basedOn w:val="1"/>
    <w:next w:val="1"/>
    <w:link w:val="17"/>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kern w:val="0"/>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rPr>
      <w:rFonts w:ascii="Calibri" w:hAnsi="Calibri" w:eastAsia="宋体" w:cs="Times New Roman"/>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semiHidden/>
    <w:unhideWhenUsed/>
    <w:uiPriority w:val="99"/>
  </w:style>
  <w:style w:type="character" w:customStyle="1" w:styleId="11">
    <w:name w:val="页脚 Char"/>
    <w:link w:val="4"/>
    <w:uiPriority w:val="99"/>
    <w:rPr>
      <w:sz w:val="18"/>
      <w:szCs w:val="18"/>
    </w:rPr>
  </w:style>
  <w:style w:type="character" w:customStyle="1" w:styleId="12">
    <w:name w:val="页眉 Char"/>
    <w:link w:val="5"/>
    <w:uiPriority w:val="99"/>
    <w:rPr>
      <w:sz w:val="18"/>
      <w:szCs w:val="18"/>
    </w:rPr>
  </w:style>
  <w:style w:type="character" w:customStyle="1" w:styleId="13">
    <w:name w:val="批注框文本 Char"/>
    <w:link w:val="3"/>
    <w:semiHidden/>
    <w:uiPriority w:val="99"/>
    <w:rPr>
      <w:kern w:val="2"/>
      <w:sz w:val="18"/>
      <w:szCs w:val="18"/>
    </w:rPr>
  </w:style>
  <w:style w:type="paragraph" w:customStyle="1" w:styleId="14">
    <w:name w:val="Defaul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15">
    <w:name w:val="No Spacing1"/>
    <w:uiPriority w:val="0"/>
    <w:pPr>
      <w:widowControl w:val="0"/>
      <w:jc w:val="both"/>
    </w:pPr>
    <w:rPr>
      <w:rFonts w:ascii="Calibri" w:eastAsia="宋体" w:cs="Calibri"/>
      <w:kern w:val="2"/>
      <w:sz w:val="21"/>
      <w:szCs w:val="21"/>
      <w:lang w:val="en-US" w:eastAsia="zh-CN" w:bidi="ar-SA"/>
    </w:rPr>
  </w:style>
  <w:style w:type="paragraph" w:styleId="16">
    <w:name w:val="List Paragraph"/>
    <w:basedOn w:val="1"/>
    <w:qFormat/>
    <w:uiPriority w:val="34"/>
    <w:pPr>
      <w:ind w:firstLine="420" w:firstLineChars="200"/>
    </w:pPr>
    <w:rPr>
      <w:rFonts w:ascii="Calibri" w:eastAsia="宋体"/>
      <w:sz w:val="21"/>
    </w:rPr>
  </w:style>
  <w:style w:type="character" w:customStyle="1" w:styleId="17">
    <w:name w:val="日期 Char"/>
    <w:link w:val="2"/>
    <w:semiHidden/>
    <w:uiPriority w:val="99"/>
    <w:rPr>
      <w:kern w:val="2"/>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1285</Words>
  <Characters>7327</Characters>
  <Lines>61</Lines>
  <Paragraphs>17</Paragraphs>
  <TotalTime>0</TotalTime>
  <ScaleCrop>false</ScaleCrop>
  <LinksUpToDate>false</LinksUpToDate>
  <CharactersWithSpaces>8595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2017-10-26T07:50:00Z</dcterms:created>
  <dc:creator>shuibg</dc:creator>
  <cp:lastModifiedBy>Orange</cp:lastModifiedBy>
  <cp:lastPrinted>2023-10-25T05:03:00Z</cp:lastPrinted>
  <dcterms:modified xsi:type="dcterms:W3CDTF">2023-10-26T01:20:52Z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F730518A783646FB991E81371625A5A2_13</vt:lpwstr>
  </property>
</Properties>
</file>